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E1F2" w14:textId="77777777" w:rsidR="00A22B83" w:rsidRDefault="00A22B83"/>
    <w:p w14:paraId="79EBF141" w14:textId="77777777" w:rsidR="00E3583B" w:rsidRDefault="00E3583B"/>
    <w:p w14:paraId="29445865" w14:textId="77777777" w:rsidR="00A22B83" w:rsidRDefault="00A22B83"/>
    <w:p w14:paraId="1DB6E9B4" w14:textId="77777777" w:rsidR="00A22B83" w:rsidRDefault="00A22B83"/>
    <w:p w14:paraId="2EA60174" w14:textId="3DFFE9BE" w:rsidR="00D4571C" w:rsidRDefault="00D4571C">
      <w:r>
        <w:t xml:space="preserve">Dear NHS Contract Holder, </w:t>
      </w:r>
    </w:p>
    <w:p w14:paraId="07BD9E93" w14:textId="3E53AFE8" w:rsidR="004130AD" w:rsidRPr="00522C52" w:rsidRDefault="00E700E7">
      <w:pPr>
        <w:rPr>
          <w:b/>
          <w:bCs/>
        </w:rPr>
      </w:pPr>
      <w:r>
        <w:rPr>
          <w:b/>
          <w:bCs/>
        </w:rPr>
        <w:t>INTRODUCTION</w:t>
      </w:r>
    </w:p>
    <w:p w14:paraId="4A117081" w14:textId="787B0F46" w:rsidR="00C81D68" w:rsidRDefault="00D4571C">
      <w:r>
        <w:t xml:space="preserve">As you </w:t>
      </w:r>
      <w:r w:rsidR="00C81D68">
        <w:t>may know</w:t>
      </w:r>
      <w:r w:rsidR="0087062E">
        <w:t>,</w:t>
      </w:r>
      <w:r w:rsidR="00C81D68">
        <w:t xml:space="preserve"> from 1 April 2023 </w:t>
      </w:r>
      <w:r>
        <w:t xml:space="preserve">Suffolk and </w:t>
      </w:r>
      <w:proofErr w:type="gramStart"/>
      <w:r>
        <w:t>North East</w:t>
      </w:r>
      <w:proofErr w:type="gramEnd"/>
      <w:r>
        <w:t xml:space="preserve"> Essex I</w:t>
      </w:r>
      <w:r w:rsidR="00C81D68">
        <w:t>ntegrated Care Board (</w:t>
      </w:r>
      <w:r w:rsidR="00E700E7">
        <w:t xml:space="preserve">SNEE </w:t>
      </w:r>
      <w:r w:rsidR="00C81D68">
        <w:t xml:space="preserve">ICB) has taken on responsibility for commissioning NHS dental services from </w:t>
      </w:r>
      <w:r>
        <w:t>NHS England</w:t>
      </w:r>
      <w:r w:rsidR="00C81D68">
        <w:t xml:space="preserve">.  </w:t>
      </w:r>
      <w:r w:rsidR="00CA21E4">
        <w:t xml:space="preserve">The ICB is aware of the significant </w:t>
      </w:r>
      <w:r w:rsidR="00E700E7">
        <w:t xml:space="preserve">dental </w:t>
      </w:r>
      <w:r w:rsidR="00CA21E4">
        <w:t>access issues that patients face and th</w:t>
      </w:r>
      <w:r w:rsidR="004130AD">
        <w:t>e</w:t>
      </w:r>
      <w:r w:rsidR="00CA21E4">
        <w:t xml:space="preserve"> impact this </w:t>
      </w:r>
      <w:r w:rsidR="00E700E7">
        <w:t>is having</w:t>
      </w:r>
      <w:r w:rsidR="00CA21E4">
        <w:t xml:space="preserve"> on oral health including rates of cancer. </w:t>
      </w:r>
      <w:r w:rsidR="00C81D68">
        <w:t xml:space="preserve">There is clearly a lot we need to do differently </w:t>
      </w:r>
      <w:r w:rsidR="00CA21E4">
        <w:t xml:space="preserve">as commissioners to </w:t>
      </w:r>
      <w:r w:rsidR="004130AD">
        <w:t xml:space="preserve">work with you </w:t>
      </w:r>
      <w:r w:rsidR="00E700E7">
        <w:t xml:space="preserve">and the wider health community </w:t>
      </w:r>
      <w:r w:rsidR="004130AD">
        <w:t xml:space="preserve">to </w:t>
      </w:r>
      <w:r w:rsidR="00CA21E4">
        <w:t xml:space="preserve">meet these challenges. </w:t>
      </w:r>
    </w:p>
    <w:p w14:paraId="21D3A280" w14:textId="69095225" w:rsidR="00E700E7" w:rsidRDefault="004130AD" w:rsidP="00E700E7">
      <w:r>
        <w:t xml:space="preserve">Our commissioning team includes both managers and clinicians. We are keen to hear your views on how we should approach the oral health challenge. </w:t>
      </w:r>
      <w:r w:rsidR="00E700E7">
        <w:t xml:space="preserve">If you would like to reach us on any </w:t>
      </w:r>
      <w:r w:rsidR="0087062E">
        <w:t>matter,</w:t>
      </w:r>
      <w:r w:rsidR="00E700E7">
        <w:t xml:space="preserve"> please contact </w:t>
      </w:r>
      <w:hyperlink r:id="rId5" w:history="1">
        <w:r w:rsidR="00E700E7" w:rsidRPr="00043590">
          <w:rPr>
            <w:rStyle w:val="Hyperlink"/>
          </w:rPr>
          <w:t>Dental@SNEE.NHS.UK</w:t>
        </w:r>
      </w:hyperlink>
      <w:r w:rsidR="00E700E7">
        <w:t xml:space="preserve">.  We are recruiting to expand the team. </w:t>
      </w:r>
      <w:r w:rsidR="0087062E">
        <w:t>Also,</w:t>
      </w:r>
      <w:r w:rsidR="00E700E7">
        <w:t xml:space="preserve"> we are working through the best way to regularly communicate with all dental professionals on our plans and progress.</w:t>
      </w:r>
    </w:p>
    <w:p w14:paraId="483B3CE9" w14:textId="325AD6D6" w:rsidR="00E700E7" w:rsidRDefault="00E700E7" w:rsidP="00E700E7">
      <w:r>
        <w:t>There are some key areas where we have made progress including</w:t>
      </w:r>
      <w:r w:rsidR="0087062E">
        <w:t>:</w:t>
      </w:r>
      <w:r>
        <w:t xml:space="preserve"> </w:t>
      </w:r>
    </w:p>
    <w:p w14:paraId="239C8360" w14:textId="77777777" w:rsidR="00E700E7" w:rsidRDefault="00E700E7" w:rsidP="00E700E7">
      <w:pPr>
        <w:pStyle w:val="ListParagraph"/>
        <w:numPr>
          <w:ilvl w:val="0"/>
          <w:numId w:val="2"/>
        </w:numPr>
      </w:pPr>
      <w:r>
        <w:t xml:space="preserve">Commissioning increased oral public health services in Suffolk and </w:t>
      </w:r>
      <w:proofErr w:type="gramStart"/>
      <w:r>
        <w:t>North East</w:t>
      </w:r>
      <w:proofErr w:type="gramEnd"/>
      <w:r>
        <w:t xml:space="preserve"> Essex in schools </w:t>
      </w:r>
    </w:p>
    <w:p w14:paraId="4668AD5A" w14:textId="77777777" w:rsidR="00E700E7" w:rsidRDefault="00E700E7" w:rsidP="00E700E7">
      <w:pPr>
        <w:pStyle w:val="ListParagraph"/>
        <w:numPr>
          <w:ilvl w:val="0"/>
          <w:numId w:val="2"/>
        </w:numPr>
      </w:pPr>
      <w:r>
        <w:t xml:space="preserve">Taking steps to move to a minimum UDA value across </w:t>
      </w:r>
      <w:proofErr w:type="gramStart"/>
      <w:r>
        <w:t>SNEE</w:t>
      </w:r>
      <w:proofErr w:type="gramEnd"/>
    </w:p>
    <w:p w14:paraId="38CF275E" w14:textId="77777777" w:rsidR="00E700E7" w:rsidRDefault="00E700E7" w:rsidP="00E700E7">
      <w:pPr>
        <w:pStyle w:val="ListParagraph"/>
        <w:numPr>
          <w:ilvl w:val="0"/>
          <w:numId w:val="2"/>
        </w:numPr>
      </w:pPr>
      <w:r>
        <w:t>Commissioning a new Suffolk dental centre based in Ipswich (due to go live in the Spring 2024)</w:t>
      </w:r>
    </w:p>
    <w:p w14:paraId="7B037503" w14:textId="77777777" w:rsidR="00E700E7" w:rsidRDefault="00E700E7">
      <w:pPr>
        <w:rPr>
          <w:b/>
          <w:bCs/>
        </w:rPr>
      </w:pPr>
    </w:p>
    <w:p w14:paraId="0CD790E2" w14:textId="4DDBF3AF" w:rsidR="00835B68" w:rsidRPr="00522C52" w:rsidRDefault="00E700E7">
      <w:pPr>
        <w:rPr>
          <w:b/>
          <w:bCs/>
        </w:rPr>
      </w:pPr>
      <w:r>
        <w:rPr>
          <w:b/>
          <w:bCs/>
        </w:rPr>
        <w:t>NEW COMMISSIONING OFFFERS</w:t>
      </w:r>
    </w:p>
    <w:p w14:paraId="2EFBE607" w14:textId="69886DA8" w:rsidR="00CA21E4" w:rsidRDefault="00835B68" w:rsidP="00CA21E4">
      <w:r>
        <w:t>In this context, we ar</w:t>
      </w:r>
      <w:r w:rsidR="00CA21E4">
        <w:t>e pleased to contact you to present three “</w:t>
      </w:r>
      <w:proofErr w:type="gramStart"/>
      <w:r w:rsidR="00CA21E4">
        <w:t>ever-green</w:t>
      </w:r>
      <w:proofErr w:type="gramEnd"/>
      <w:r w:rsidR="00CA21E4">
        <w:t xml:space="preserve">” offers </w:t>
      </w:r>
    </w:p>
    <w:p w14:paraId="4D4AAFF6" w14:textId="38F2B07D" w:rsidR="00CA21E4" w:rsidRPr="00522C52" w:rsidRDefault="00661715">
      <w:pPr>
        <w:rPr>
          <w:b/>
          <w:bCs/>
          <w:i/>
          <w:iCs/>
        </w:rPr>
      </w:pPr>
      <w:r>
        <w:rPr>
          <w:b/>
          <w:bCs/>
          <w:i/>
          <w:iCs/>
        </w:rPr>
        <w:t>1.</w:t>
      </w:r>
      <w:r w:rsidR="00CA21E4" w:rsidRPr="00522C5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Supporting practices able to offer </w:t>
      </w:r>
      <w:proofErr w:type="gramStart"/>
      <w:r>
        <w:rPr>
          <w:b/>
          <w:bCs/>
          <w:i/>
          <w:iCs/>
        </w:rPr>
        <w:t>UDA’s</w:t>
      </w:r>
      <w:proofErr w:type="gramEnd"/>
      <w:r>
        <w:rPr>
          <w:b/>
          <w:bCs/>
          <w:i/>
          <w:iCs/>
        </w:rPr>
        <w:t xml:space="preserve"> above their contract value </w:t>
      </w:r>
      <w:r w:rsidRPr="00522C52">
        <w:rPr>
          <w:b/>
          <w:bCs/>
          <w:i/>
          <w:iCs/>
        </w:rPr>
        <w:t xml:space="preserve"> </w:t>
      </w:r>
    </w:p>
    <w:p w14:paraId="32B50B2B" w14:textId="18AD03DD" w:rsidR="00661715" w:rsidRDefault="00835B68">
      <w:r>
        <w:t>Do please contact us if you are expecting to reach your contracted value and would like to offer more NHS dental services in 2023/24 or 2024/25.  The ICB has already supported a</w:t>
      </w:r>
      <w:r w:rsidR="00661715">
        <w:t xml:space="preserve"> number of providers </w:t>
      </w:r>
      <w:r>
        <w:t xml:space="preserve">who </w:t>
      </w:r>
      <w:r w:rsidR="00661715">
        <w:t xml:space="preserve">have approached </w:t>
      </w:r>
      <w:r>
        <w:t xml:space="preserve">us with an </w:t>
      </w:r>
      <w:r w:rsidR="00661715">
        <w:t>offer to undertake 110% of their contract value in 2023/24</w:t>
      </w:r>
      <w:r>
        <w:t xml:space="preserve">. We are also interested to hear from practices who may wish </w:t>
      </w:r>
      <w:r w:rsidRPr="009D2554">
        <w:t>to offer more than 110% of their contact value in 2024/25</w:t>
      </w:r>
      <w:r w:rsidR="009D2554">
        <w:t xml:space="preserve"> and by how much you feel you could do above this. </w:t>
      </w:r>
    </w:p>
    <w:p w14:paraId="0925BE1B" w14:textId="30EFBDDB" w:rsidR="00661715" w:rsidRDefault="00661715">
      <w:pPr>
        <w:rPr>
          <w:b/>
          <w:bCs/>
          <w:i/>
          <w:iCs/>
        </w:rPr>
      </w:pPr>
      <w:r>
        <w:rPr>
          <w:b/>
          <w:bCs/>
          <w:i/>
          <w:iCs/>
        </w:rPr>
        <w:t>2.</w:t>
      </w:r>
      <w:r>
        <w:t xml:space="preserve"> </w:t>
      </w:r>
      <w:r w:rsidR="00F041EE" w:rsidRPr="00522C52">
        <w:rPr>
          <w:b/>
          <w:bCs/>
          <w:i/>
          <w:iCs/>
        </w:rPr>
        <w:t>Dental Priority Access and Stabilisation Service</w:t>
      </w:r>
    </w:p>
    <w:p w14:paraId="617A2477" w14:textId="6257B990" w:rsidR="00E700E7" w:rsidRDefault="00661715" w:rsidP="00E700E7">
      <w:r>
        <w:t>Th</w:t>
      </w:r>
      <w:r w:rsidR="00F041EE">
        <w:t xml:space="preserve">is is an offer to </w:t>
      </w:r>
      <w:r w:rsidR="00835B68">
        <w:t>every dental p</w:t>
      </w:r>
      <w:r w:rsidR="00F041EE">
        <w:t>ractice</w:t>
      </w:r>
      <w:r w:rsidR="00835B68">
        <w:t xml:space="preserve"> </w:t>
      </w:r>
      <w:r w:rsidR="00E700E7">
        <w:t xml:space="preserve">holding a contract </w:t>
      </w:r>
      <w:r w:rsidR="00835B68">
        <w:t xml:space="preserve">with SNEE ICB. The offer is </w:t>
      </w:r>
      <w:r w:rsidR="00F041EE">
        <w:t>to</w:t>
      </w:r>
      <w:r w:rsidR="00FF0044">
        <w:t xml:space="preserve"> </w:t>
      </w:r>
      <w:r w:rsidR="00835B68">
        <w:t>increase dental services for people in one of the priority groups below</w:t>
      </w:r>
      <w:r w:rsidR="00E700E7">
        <w:t xml:space="preserve">.  This includes new patients and support for you to treat priority patients that already attend your practice. </w:t>
      </w:r>
    </w:p>
    <w:p w14:paraId="297665BC" w14:textId="25D5C120" w:rsidR="00FF0044" w:rsidRDefault="00FF0044"/>
    <w:p w14:paraId="3A9B4C29" w14:textId="7CCB9BC4" w:rsidR="00661715" w:rsidRDefault="00661715" w:rsidP="00661715"/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4648E0" w14:paraId="5E00CA33" w14:textId="77777777" w:rsidTr="004648E0">
        <w:tc>
          <w:tcPr>
            <w:tcW w:w="3005" w:type="dxa"/>
          </w:tcPr>
          <w:p w14:paraId="7889A697" w14:textId="60C557B0" w:rsidR="004648E0" w:rsidRDefault="004648E0" w:rsidP="00522C52">
            <w:pPr>
              <w:jc w:val="center"/>
            </w:pPr>
            <w:r w:rsidRPr="0078173F">
              <w:lastRenderedPageBreak/>
              <w:t>Children in Care</w:t>
            </w:r>
            <w:r>
              <w:t xml:space="preserve"> (including those under Social Services care plans)</w:t>
            </w:r>
          </w:p>
        </w:tc>
        <w:tc>
          <w:tcPr>
            <w:tcW w:w="3006" w:type="dxa"/>
          </w:tcPr>
          <w:p w14:paraId="061200C7" w14:textId="0F9EED80" w:rsidR="004648E0" w:rsidRPr="0078173F" w:rsidRDefault="004648E0" w:rsidP="00522C52">
            <w:pPr>
              <w:jc w:val="center"/>
            </w:pPr>
            <w:r>
              <w:t xml:space="preserve">The </w:t>
            </w:r>
            <w:r w:rsidRPr="0078173F">
              <w:t>Homeless</w:t>
            </w:r>
          </w:p>
        </w:tc>
        <w:tc>
          <w:tcPr>
            <w:tcW w:w="3006" w:type="dxa"/>
          </w:tcPr>
          <w:p w14:paraId="53C8EB89" w14:textId="0B48E1FB" w:rsidR="004648E0" w:rsidRDefault="004648E0" w:rsidP="00522C52">
            <w:pPr>
              <w:jc w:val="center"/>
            </w:pPr>
            <w:r w:rsidRPr="0078173F">
              <w:t>Urgent and Emergency Care Patients</w:t>
            </w:r>
          </w:p>
        </w:tc>
      </w:tr>
      <w:tr w:rsidR="004648E0" w14:paraId="7E5C0149" w14:textId="77777777" w:rsidTr="004648E0">
        <w:tc>
          <w:tcPr>
            <w:tcW w:w="3005" w:type="dxa"/>
          </w:tcPr>
          <w:p w14:paraId="1637E55E" w14:textId="6E8AF1AA" w:rsidR="004648E0" w:rsidRDefault="004648E0" w:rsidP="00522C52">
            <w:pPr>
              <w:jc w:val="center"/>
            </w:pPr>
            <w:r w:rsidRPr="0078173F">
              <w:t>Care Leavers</w:t>
            </w:r>
          </w:p>
        </w:tc>
        <w:tc>
          <w:tcPr>
            <w:tcW w:w="3006" w:type="dxa"/>
          </w:tcPr>
          <w:p w14:paraId="54DEE65F" w14:textId="5F09F9DA" w:rsidR="004648E0" w:rsidRPr="0078173F" w:rsidRDefault="004648E0" w:rsidP="00522C52">
            <w:pPr>
              <w:jc w:val="center"/>
            </w:pPr>
            <w:r w:rsidRPr="0078173F">
              <w:t>Transient Populations including immigrants</w:t>
            </w:r>
          </w:p>
        </w:tc>
        <w:tc>
          <w:tcPr>
            <w:tcW w:w="3006" w:type="dxa"/>
          </w:tcPr>
          <w:p w14:paraId="7966F899" w14:textId="7BB4744F" w:rsidR="004648E0" w:rsidRDefault="004648E0" w:rsidP="00522C52">
            <w:pPr>
              <w:jc w:val="center"/>
            </w:pPr>
            <w:r w:rsidRPr="0078173F">
              <w:t>Those awaiting any NHS procedure that requires Oral Stabilisation</w:t>
            </w:r>
          </w:p>
        </w:tc>
      </w:tr>
      <w:tr w:rsidR="004648E0" w14:paraId="32BED572" w14:textId="77777777" w:rsidTr="004648E0">
        <w:tc>
          <w:tcPr>
            <w:tcW w:w="3005" w:type="dxa"/>
          </w:tcPr>
          <w:p w14:paraId="6292BA26" w14:textId="0050492E" w:rsidR="004648E0" w:rsidRPr="0078173F" w:rsidRDefault="004648E0" w:rsidP="00522C52">
            <w:pPr>
              <w:jc w:val="center"/>
            </w:pPr>
            <w:r>
              <w:t>Residents in care homes and nursing homes</w:t>
            </w:r>
            <w:r w:rsidR="0087062E">
              <w:t xml:space="preserve"> being treated within the practice setting</w:t>
            </w:r>
          </w:p>
        </w:tc>
        <w:tc>
          <w:tcPr>
            <w:tcW w:w="3006" w:type="dxa"/>
          </w:tcPr>
          <w:p w14:paraId="4622A113" w14:textId="1CC2FC6F" w:rsidR="004648E0" w:rsidRDefault="004648E0" w:rsidP="00522C52">
            <w:pPr>
              <w:jc w:val="center"/>
            </w:pPr>
            <w:r>
              <w:t>Sex workers</w:t>
            </w:r>
          </w:p>
        </w:tc>
        <w:tc>
          <w:tcPr>
            <w:tcW w:w="3006" w:type="dxa"/>
          </w:tcPr>
          <w:p w14:paraId="31FC2FB4" w14:textId="03024FF1" w:rsidR="004648E0" w:rsidRDefault="004648E0" w:rsidP="00522C52">
            <w:pPr>
              <w:jc w:val="center"/>
            </w:pPr>
            <w:r>
              <w:t>High dental risk patients</w:t>
            </w:r>
          </w:p>
        </w:tc>
      </w:tr>
      <w:tr w:rsidR="004648E0" w14:paraId="39F3EDB2" w14:textId="77777777" w:rsidTr="004648E0">
        <w:tc>
          <w:tcPr>
            <w:tcW w:w="3005" w:type="dxa"/>
          </w:tcPr>
          <w:p w14:paraId="16B161A7" w14:textId="49ECFF31" w:rsidR="004648E0" w:rsidRPr="0078173F" w:rsidRDefault="004648E0" w:rsidP="00522C52">
            <w:pPr>
              <w:jc w:val="center"/>
            </w:pPr>
            <w:r>
              <w:t>People with dementia</w:t>
            </w:r>
          </w:p>
        </w:tc>
        <w:tc>
          <w:tcPr>
            <w:tcW w:w="3006" w:type="dxa"/>
          </w:tcPr>
          <w:p w14:paraId="04D7E364" w14:textId="2469D6FA" w:rsidR="004648E0" w:rsidRDefault="004648E0" w:rsidP="00522C52">
            <w:pPr>
              <w:jc w:val="center"/>
            </w:pPr>
            <w:r>
              <w:t>People with a learning disability</w:t>
            </w:r>
            <w:r w:rsidR="009D2554">
              <w:t xml:space="preserve"> (LD)or Autism Spectrum Disorder </w:t>
            </w:r>
            <w:r w:rsidRPr="0078173F">
              <w:t>Patients</w:t>
            </w:r>
          </w:p>
        </w:tc>
        <w:tc>
          <w:tcPr>
            <w:tcW w:w="3006" w:type="dxa"/>
          </w:tcPr>
          <w:p w14:paraId="2DFC0FB9" w14:textId="398A2C72" w:rsidR="004648E0" w:rsidRDefault="004648E0" w:rsidP="00522C52">
            <w:pPr>
              <w:jc w:val="center"/>
            </w:pPr>
          </w:p>
        </w:tc>
      </w:tr>
    </w:tbl>
    <w:p w14:paraId="0BB7FF5A" w14:textId="77777777" w:rsidR="004130AD" w:rsidRDefault="004130AD" w:rsidP="004130AD"/>
    <w:p w14:paraId="1AD45B6A" w14:textId="0AF79473" w:rsidR="004130AD" w:rsidRDefault="004130AD" w:rsidP="004130AD">
      <w:r>
        <w:t xml:space="preserve">The practice can choose to sign up to </w:t>
      </w:r>
      <w:r w:rsidRPr="00D600C5">
        <w:rPr>
          <w:u w:val="single"/>
        </w:rPr>
        <w:t>one</w:t>
      </w:r>
      <w:r>
        <w:t xml:space="preserve"> of 2 options for payment. </w:t>
      </w:r>
    </w:p>
    <w:p w14:paraId="5FC3AC7A" w14:textId="77777777" w:rsidR="004130AD" w:rsidRDefault="004130AD" w:rsidP="004130AD">
      <w:pPr>
        <w:pStyle w:val="ListParagraph"/>
        <w:numPr>
          <w:ilvl w:val="0"/>
          <w:numId w:val="3"/>
        </w:numPr>
      </w:pPr>
      <w:r w:rsidRPr="00D600C5">
        <w:rPr>
          <w:b/>
          <w:bCs/>
          <w:i/>
          <w:iCs/>
        </w:rPr>
        <w:t>Extra sessional payments</w:t>
      </w:r>
      <w:r>
        <w:rPr>
          <w:b/>
          <w:bCs/>
          <w:i/>
          <w:iCs/>
        </w:rPr>
        <w:t xml:space="preserve"> for out of hours</w:t>
      </w:r>
    </w:p>
    <w:p w14:paraId="70BC9C49" w14:textId="10DA8C89" w:rsidR="004130AD" w:rsidRDefault="004130AD" w:rsidP="004130AD">
      <w:pPr>
        <w:pStyle w:val="ListParagraph"/>
      </w:pPr>
      <w:r>
        <w:t>Additional sessional payments to you as a provider for extended hours: evenings, weekends and bank holiday rates are available in the document shared in the email with a</w:t>
      </w:r>
      <w:r w:rsidR="0087062E">
        <w:t>n expected</w:t>
      </w:r>
      <w:r>
        <w:t xml:space="preserve"> minimum of 2 patients an hour. The ICB’s preference is to have providers sign up to these and</w:t>
      </w:r>
      <w:r w:rsidR="0087062E">
        <w:t>,</w:t>
      </w:r>
      <w:r>
        <w:t xml:space="preserve"> if possible</w:t>
      </w:r>
      <w:r w:rsidR="0087062E">
        <w:t>,</w:t>
      </w:r>
      <w:r>
        <w:t xml:space="preserve"> provide full coverage across </w:t>
      </w:r>
      <w:proofErr w:type="gramStart"/>
      <w:r>
        <w:t>all of</w:t>
      </w:r>
      <w:proofErr w:type="gramEnd"/>
      <w:r>
        <w:t xml:space="preserve"> these days or partner with other neighbouring provider</w:t>
      </w:r>
      <w:r w:rsidR="0087062E">
        <w:t>/</w:t>
      </w:r>
      <w:r>
        <w:t xml:space="preserve">s to cover all of the days.  </w:t>
      </w:r>
      <w:r w:rsidR="0087062E">
        <w:t>However,</w:t>
      </w:r>
      <w:r>
        <w:t xml:space="preserve"> if a practice is interested in just providing some extended access sessions for priority groups, then these will also be considered. </w:t>
      </w:r>
    </w:p>
    <w:p w14:paraId="0EC47FCE" w14:textId="77777777" w:rsidR="004130AD" w:rsidRDefault="004130AD" w:rsidP="004130AD">
      <w:pPr>
        <w:pStyle w:val="ListParagraph"/>
      </w:pPr>
    </w:p>
    <w:p w14:paraId="2367A8E0" w14:textId="77777777" w:rsidR="004130AD" w:rsidRPr="00D600C5" w:rsidRDefault="004130AD" w:rsidP="004130AD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 w:rsidRPr="00D600C5">
        <w:rPr>
          <w:b/>
          <w:bCs/>
          <w:i/>
          <w:iCs/>
        </w:rPr>
        <w:t xml:space="preserve">Enhanced UDA </w:t>
      </w:r>
      <w:r>
        <w:rPr>
          <w:b/>
          <w:bCs/>
          <w:i/>
          <w:iCs/>
        </w:rPr>
        <w:t>rate for in hours</w:t>
      </w:r>
    </w:p>
    <w:p w14:paraId="5AC66533" w14:textId="02972917" w:rsidR="004130AD" w:rsidRDefault="004130AD" w:rsidP="004130AD">
      <w:pPr>
        <w:ind w:left="720"/>
      </w:pPr>
      <w:r>
        <w:t xml:space="preserve">The second scheme is an offer to see the same Priority Groups in hours at an enhanced rate of £50 </w:t>
      </w:r>
      <w:r w:rsidR="009D2554">
        <w:t>per</w:t>
      </w:r>
      <w:r>
        <w:t xml:space="preserve"> UDA. </w:t>
      </w:r>
    </w:p>
    <w:p w14:paraId="7B449128" w14:textId="24069F4D" w:rsidR="004130AD" w:rsidRPr="0078173F" w:rsidRDefault="0087062E" w:rsidP="004130AD">
      <w:r>
        <w:t>For greater detail, t</w:t>
      </w:r>
      <w:r w:rsidR="00E700E7">
        <w:t xml:space="preserve">he specification is attached. </w:t>
      </w:r>
      <w:r w:rsidR="004130AD" w:rsidRPr="0078173F">
        <w:t>The scheme is for 18 months with the aim of starting as soon as possible</w:t>
      </w:r>
      <w:r>
        <w:t>. I</w:t>
      </w:r>
      <w:r w:rsidR="00835B68">
        <w:t xml:space="preserve">deally </w:t>
      </w:r>
      <w:r w:rsidR="004130AD">
        <w:t xml:space="preserve">before </w:t>
      </w:r>
      <w:r w:rsidR="004130AD" w:rsidRPr="0078173F">
        <w:t>1st April</w:t>
      </w:r>
      <w:r w:rsidR="004130AD">
        <w:t xml:space="preserve"> this year.  However, this </w:t>
      </w:r>
      <w:r w:rsidR="004130AD" w:rsidRPr="0078173F">
        <w:t xml:space="preserve">is an evergreen offer. </w:t>
      </w:r>
    </w:p>
    <w:p w14:paraId="64B47B69" w14:textId="461C4E63" w:rsidR="00661715" w:rsidRDefault="00661715" w:rsidP="00661715">
      <w:r w:rsidRPr="0078173F">
        <w:t>The ICB has good links with services that can help identify and refer patients within these group to your practice</w:t>
      </w:r>
      <w:r w:rsidR="00835B68">
        <w:t xml:space="preserve">.  We are also </w:t>
      </w:r>
      <w:r>
        <w:t>ask</w:t>
      </w:r>
      <w:r w:rsidR="00835B68">
        <w:t>ing</w:t>
      </w:r>
      <w:r>
        <w:t xml:space="preserve"> provider</w:t>
      </w:r>
      <w:r w:rsidR="00835B68">
        <w:t xml:space="preserve">s to be </w:t>
      </w:r>
      <w:r>
        <w:t>the prime provider for specific care homes</w:t>
      </w:r>
      <w:r w:rsidR="009D2554">
        <w:t xml:space="preserve"> within the Practice Setting</w:t>
      </w:r>
      <w:r>
        <w:t xml:space="preserve"> as part of this work</w:t>
      </w:r>
      <w:r w:rsidRPr="0078173F">
        <w:t>.</w:t>
      </w:r>
    </w:p>
    <w:p w14:paraId="43603B34" w14:textId="27E2E312" w:rsidR="004130AD" w:rsidRDefault="004130AD" w:rsidP="004130AD">
      <w:r>
        <w:t xml:space="preserve">This service </w:t>
      </w:r>
      <w:r w:rsidR="00E700E7">
        <w:t>includes</w:t>
      </w:r>
      <w:r>
        <w:t xml:space="preserve"> aspects of Oral Health Education and having an </w:t>
      </w:r>
      <w:r w:rsidR="0087062E">
        <w:t>i</w:t>
      </w:r>
      <w:r>
        <w:t xml:space="preserve">ndividualised </w:t>
      </w:r>
      <w:r w:rsidR="0087062E">
        <w:t xml:space="preserve">Personalised </w:t>
      </w:r>
      <w:r>
        <w:t xml:space="preserve">Care Plan agreed with the patient to </w:t>
      </w:r>
      <w:r w:rsidR="009D2554">
        <w:rPr>
          <w:kern w:val="0"/>
          <w14:ligatures w14:val="none"/>
        </w:rPr>
        <w:t>attempt to achieve disease stabilisation going forward</w:t>
      </w:r>
      <w:r>
        <w:t>. The ICB is preparing some information to give to the patient so th</w:t>
      </w:r>
      <w:r w:rsidR="009D2554">
        <w:t>at th</w:t>
      </w:r>
      <w:r>
        <w:t xml:space="preserve">e patient is aware of the requirements </w:t>
      </w:r>
      <w:r w:rsidR="00E700E7">
        <w:t>for</w:t>
      </w:r>
      <w:r>
        <w:t xml:space="preserve"> them to continue to be </w:t>
      </w:r>
      <w:r w:rsidR="009D2554">
        <w:t>engage</w:t>
      </w:r>
      <w:r w:rsidR="0087062E">
        <w:t>d</w:t>
      </w:r>
      <w:r w:rsidR="009D2554">
        <w:t xml:space="preserve"> with </w:t>
      </w:r>
      <w:r>
        <w:t xml:space="preserve">the practice for the stabilisation period of the scheme. </w:t>
      </w:r>
    </w:p>
    <w:p w14:paraId="7AEF6679" w14:textId="4896E9C2" w:rsidR="00661715" w:rsidRDefault="00661715" w:rsidP="00661715">
      <w:r w:rsidRPr="0078173F">
        <w:t>The</w:t>
      </w:r>
      <w:r>
        <w:t xml:space="preserve">re is a requirement for </w:t>
      </w:r>
      <w:r w:rsidRPr="0078173F">
        <w:t xml:space="preserve">a minimal data set </w:t>
      </w:r>
      <w:r>
        <w:t>to be</w:t>
      </w:r>
      <w:r w:rsidRPr="0078173F">
        <w:t xml:space="preserve"> collected and submitted to the ICB so we can understand and review the impact of the scheme</w:t>
      </w:r>
      <w:r w:rsidR="00835B68">
        <w:t xml:space="preserve"> and clarify our intentions after the </w:t>
      </w:r>
      <w:proofErr w:type="gramStart"/>
      <w:r w:rsidR="00835B68">
        <w:t>18 month</w:t>
      </w:r>
      <w:proofErr w:type="gramEnd"/>
      <w:r w:rsidR="00835B68">
        <w:t xml:space="preserve"> period</w:t>
      </w:r>
      <w:r w:rsidRPr="0078173F">
        <w:t xml:space="preserve">. </w:t>
      </w:r>
      <w:r>
        <w:t>Patients seen on this scheme are expected to be followed up on the scheme and be part of a l</w:t>
      </w:r>
      <w:r w:rsidRPr="00837E9C">
        <w:t>ist</w:t>
      </w:r>
      <w:r>
        <w:t xml:space="preserve"> </w:t>
      </w:r>
      <w:r w:rsidR="0087062E">
        <w:t>who are regularly cared for</w:t>
      </w:r>
      <w:r>
        <w:t xml:space="preserve"> until the scheme is finished</w:t>
      </w:r>
      <w:r w:rsidR="0087062E">
        <w:t xml:space="preserve"> or their oral health has stabilised to the </w:t>
      </w:r>
      <w:proofErr w:type="gramStart"/>
      <w:r w:rsidR="0087062E">
        <w:t>level</w:t>
      </w:r>
      <w:proofErr w:type="gramEnd"/>
      <w:r w:rsidR="0087062E">
        <w:t xml:space="preserve"> they can receive routine care under the usual mandatory services. Alternatively,</w:t>
      </w:r>
      <w:r>
        <w:t xml:space="preserve"> </w:t>
      </w:r>
      <w:r w:rsidR="0087062E">
        <w:t>if a patient</w:t>
      </w:r>
      <w:r>
        <w:t xml:space="preserve"> do</w:t>
      </w:r>
      <w:r w:rsidR="0087062E">
        <w:t>es</w:t>
      </w:r>
      <w:r>
        <w:t xml:space="preserve"> not engage </w:t>
      </w:r>
      <w:r w:rsidR="0087062E">
        <w:t>according to current guidelines</w:t>
      </w:r>
      <w:r>
        <w:t xml:space="preserve">, or they have two </w:t>
      </w:r>
      <w:r w:rsidR="0087062E">
        <w:t xml:space="preserve">consecutive failures </w:t>
      </w:r>
      <w:proofErr w:type="gramStart"/>
      <w:r>
        <w:t>not attend</w:t>
      </w:r>
      <w:proofErr w:type="gramEnd"/>
      <w:r w:rsidR="0087062E">
        <w:t>, then the patient will be seen under routine services or the practice must make a decision as to whether any care continues, respectively</w:t>
      </w:r>
      <w:r>
        <w:t xml:space="preserve">. </w:t>
      </w:r>
    </w:p>
    <w:p w14:paraId="3B8411BA" w14:textId="01A5A484" w:rsidR="004130AD" w:rsidRPr="00522C52" w:rsidRDefault="004130AD" w:rsidP="00661715">
      <w:pPr>
        <w:rPr>
          <w:b/>
          <w:bCs/>
        </w:rPr>
      </w:pPr>
      <w:r w:rsidRPr="00522C52">
        <w:rPr>
          <w:b/>
          <w:bCs/>
        </w:rPr>
        <w:t>Next Steps</w:t>
      </w:r>
    </w:p>
    <w:p w14:paraId="28EB474F" w14:textId="0393CB51" w:rsidR="00BD536D" w:rsidRDefault="004130AD" w:rsidP="004130AD">
      <w:r>
        <w:lastRenderedPageBreak/>
        <w:t xml:space="preserve">If you are interested to take </w:t>
      </w:r>
      <w:r w:rsidR="0087062E">
        <w:t>part,</w:t>
      </w:r>
      <w:r>
        <w:t xml:space="preserve"> please complete the </w:t>
      </w:r>
      <w:r w:rsidR="00BD536D">
        <w:t>return</w:t>
      </w:r>
      <w:r w:rsidR="002171D6">
        <w:t xml:space="preserve">: </w:t>
      </w:r>
      <w:hyperlink r:id="rId6" w:history="1">
        <w:r w:rsidR="002171D6">
          <w:rPr>
            <w:rStyle w:val="Hyperlink"/>
          </w:rPr>
          <w:t>https://forms.office.com/e/eWjyR9dBRn</w:t>
        </w:r>
      </w:hyperlink>
      <w:r w:rsidR="002171D6">
        <w:t xml:space="preserve"> </w:t>
      </w:r>
      <w:r>
        <w:t xml:space="preserve"> </w:t>
      </w:r>
      <w:r w:rsidR="0087062E">
        <w:t>,</w:t>
      </w:r>
      <w:r w:rsidR="00E700E7" w:rsidRPr="009D2554">
        <w:t xml:space="preserve"> if </w:t>
      </w:r>
      <w:proofErr w:type="gramStart"/>
      <w:r w:rsidR="00E700E7" w:rsidRPr="009D2554">
        <w:t>possible</w:t>
      </w:r>
      <w:proofErr w:type="gramEnd"/>
      <w:r w:rsidR="00E700E7" w:rsidRPr="009D2554">
        <w:t xml:space="preserve"> by </w:t>
      </w:r>
      <w:r w:rsidR="009D2554" w:rsidRPr="009D2554">
        <w:t>10th February 2024</w:t>
      </w:r>
      <w:r w:rsidR="00835B68" w:rsidRPr="009D2554">
        <w:t>.</w:t>
      </w:r>
      <w:r w:rsidR="00835B68">
        <w:t xml:space="preserve"> In your </w:t>
      </w:r>
      <w:r w:rsidR="0087062E">
        <w:t>return,</w:t>
      </w:r>
      <w:r w:rsidR="00835B68">
        <w:t xml:space="preserve"> please </w:t>
      </w:r>
      <w:r w:rsidR="00BD536D">
        <w:t xml:space="preserve">indicate </w:t>
      </w:r>
      <w:r w:rsidR="00835B68">
        <w:t xml:space="preserve">the </w:t>
      </w:r>
      <w:r w:rsidR="009D2554">
        <w:t>percentage</w:t>
      </w:r>
      <w:r w:rsidR="00BD536D">
        <w:t xml:space="preserve"> of new patients you feel you could take on from this cohort with the additional funds that are being made available. </w:t>
      </w:r>
      <w:r w:rsidR="00E700E7">
        <w:t xml:space="preserve"> </w:t>
      </w:r>
    </w:p>
    <w:p w14:paraId="3871E9AD" w14:textId="33463B54" w:rsidR="0002122E" w:rsidRDefault="00835B68" w:rsidP="0002122E">
      <w:pPr>
        <w:rPr>
          <w:rFonts w:ascii="Segoe UI" w:eastAsia="Times New Roman" w:hAnsi="Segoe UI" w:cs="Segoe UI"/>
          <w:color w:val="252424"/>
          <w:lang w:val="en-US"/>
        </w:rPr>
      </w:pPr>
      <w:r>
        <w:t xml:space="preserve">We are holding two information sessions on Microsoft Teams </w:t>
      </w:r>
      <w:r w:rsidR="00E700E7">
        <w:t>which will be a chance to hear more and ask questions</w:t>
      </w:r>
      <w:r w:rsidR="00D24EA9">
        <w:t>, which we would like to encourage you to attend</w:t>
      </w:r>
      <w:r w:rsidR="0087062E">
        <w:t>.</w:t>
      </w:r>
      <w:r w:rsidR="0002122E" w:rsidRPr="0002122E"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14:paraId="0A1AAB77" w14:textId="5A920D58" w:rsidR="0002122E" w:rsidRPr="009731C4" w:rsidRDefault="0002122E" w:rsidP="0002122E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color w:val="252424"/>
          <w:lang w:val="en-US"/>
        </w:rPr>
        <w:t>These are held on:</w:t>
      </w:r>
      <w:r>
        <w:rPr>
          <w:rFonts w:ascii="Segoe UI" w:eastAsia="Times New Roman" w:hAnsi="Segoe UI" w:cs="Segoe UI"/>
          <w:color w:val="252424"/>
          <w:lang w:val="en-US"/>
        </w:rPr>
        <w:tab/>
        <w:t xml:space="preserve"> 23</w:t>
      </w:r>
      <w:r w:rsidRPr="0002122E">
        <w:rPr>
          <w:rFonts w:ascii="Segoe UI" w:eastAsia="Times New Roman" w:hAnsi="Segoe UI" w:cs="Segoe UI"/>
          <w:color w:val="252424"/>
          <w:vertAlign w:val="superscript"/>
          <w:lang w:val="en-US"/>
        </w:rPr>
        <w:t>rd</w:t>
      </w:r>
      <w:r>
        <w:rPr>
          <w:rFonts w:ascii="Segoe UI" w:eastAsia="Times New Roman" w:hAnsi="Segoe UI" w:cs="Segoe UI"/>
          <w:color w:val="252424"/>
          <w:lang w:val="en-US"/>
        </w:rPr>
        <w:t xml:space="preserve"> January 2024</w:t>
      </w:r>
      <w:r w:rsidR="008415C5">
        <w:rPr>
          <w:rFonts w:ascii="Segoe UI" w:eastAsia="Times New Roman" w:hAnsi="Segoe UI" w:cs="Segoe UI"/>
          <w:color w:val="252424"/>
          <w:lang w:val="en-US"/>
        </w:rPr>
        <w:t xml:space="preserve"> at 18:30 -</w:t>
      </w:r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  <w:hyperlink r:id="rId7" w:tgtFrame="_blank" w:history="1">
        <w:r w:rsidR="009731C4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 w:rsidR="009731C4">
        <w:rPr>
          <w:rFonts w:ascii="Segoe UI" w:hAnsi="Segoe UI" w:cs="Segoe UI"/>
          <w:color w:val="252424"/>
          <w:lang w:val="en-US"/>
        </w:rPr>
        <w:t xml:space="preserve"> </w:t>
      </w:r>
    </w:p>
    <w:p w14:paraId="529EAE86" w14:textId="77777777" w:rsidR="00A85964" w:rsidRDefault="0002122E" w:rsidP="00A85964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color w:val="252424"/>
          <w:lang w:val="en-US"/>
        </w:rPr>
        <w:tab/>
      </w:r>
      <w:r>
        <w:rPr>
          <w:rFonts w:ascii="Segoe UI" w:eastAsia="Times New Roman" w:hAnsi="Segoe UI" w:cs="Segoe UI"/>
          <w:color w:val="252424"/>
          <w:lang w:val="en-US"/>
        </w:rPr>
        <w:tab/>
      </w:r>
      <w:r>
        <w:rPr>
          <w:rFonts w:ascii="Segoe UI" w:eastAsia="Times New Roman" w:hAnsi="Segoe UI" w:cs="Segoe UI"/>
          <w:color w:val="252424"/>
          <w:lang w:val="en-US"/>
        </w:rPr>
        <w:tab/>
      </w:r>
      <w:r w:rsidR="008415C5">
        <w:rPr>
          <w:rFonts w:ascii="Segoe UI" w:eastAsia="Times New Roman" w:hAnsi="Segoe UI" w:cs="Segoe UI"/>
          <w:color w:val="252424"/>
          <w:lang w:val="en-US"/>
        </w:rPr>
        <w:t xml:space="preserve"> 26</w:t>
      </w:r>
      <w:r w:rsidR="008415C5" w:rsidRPr="008415C5">
        <w:rPr>
          <w:rFonts w:ascii="Segoe UI" w:eastAsia="Times New Roman" w:hAnsi="Segoe UI" w:cs="Segoe UI"/>
          <w:color w:val="252424"/>
          <w:vertAlign w:val="superscript"/>
          <w:lang w:val="en-US"/>
        </w:rPr>
        <w:t>th</w:t>
      </w:r>
      <w:r w:rsidR="008415C5">
        <w:rPr>
          <w:rFonts w:ascii="Segoe UI" w:eastAsia="Times New Roman" w:hAnsi="Segoe UI" w:cs="Segoe UI"/>
          <w:color w:val="252424"/>
          <w:lang w:val="en-US"/>
        </w:rPr>
        <w:t xml:space="preserve"> January 2024 at 18:30 - </w:t>
      </w:r>
      <w:hyperlink r:id="rId8" w:tgtFrame="_blank" w:history="1">
        <w:r w:rsidR="00A85964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 w:rsidR="00A85964">
        <w:rPr>
          <w:rFonts w:ascii="Segoe UI" w:hAnsi="Segoe UI" w:cs="Segoe UI"/>
          <w:color w:val="252424"/>
          <w:lang w:val="en-US"/>
        </w:rPr>
        <w:t xml:space="preserve"> </w:t>
      </w:r>
    </w:p>
    <w:p w14:paraId="1CD29028" w14:textId="0D1C7809" w:rsidR="00E700E7" w:rsidRDefault="00E700E7" w:rsidP="00E700E7">
      <w:r>
        <w:t>If you do have any questions</w:t>
      </w:r>
      <w:r w:rsidR="0087062E">
        <w:t>,</w:t>
      </w:r>
      <w:r>
        <w:t xml:space="preserve"> the Head of Dental at the ICB – </w:t>
      </w:r>
      <w:hyperlink r:id="rId9" w:history="1">
        <w:r w:rsidRPr="00DC2CA3">
          <w:rPr>
            <w:rStyle w:val="Hyperlink"/>
          </w:rPr>
          <w:t>Gregory.Brown@SNEE.NHS.UK</w:t>
        </w:r>
      </w:hyperlink>
      <w:r>
        <w:t xml:space="preserve"> will be happy to help or put you in touch with the newly appointed Senior Clinical Fellow who will be able to assist you with any clinical questions. </w:t>
      </w:r>
    </w:p>
    <w:p w14:paraId="432A68B1" w14:textId="77777777" w:rsidR="00E700E7" w:rsidRDefault="00E700E7" w:rsidP="0002122E">
      <w:pPr>
        <w:rPr>
          <w:rFonts w:ascii="Segoe UI" w:eastAsia="Times New Roman" w:hAnsi="Segoe UI" w:cs="Segoe UI"/>
          <w:color w:val="252424"/>
          <w:lang w:val="en-US"/>
        </w:rPr>
      </w:pPr>
    </w:p>
    <w:p w14:paraId="5F3719D1" w14:textId="4167B8D4" w:rsidR="0002122E" w:rsidRDefault="001C062C" w:rsidP="0002122E">
      <w:pPr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color w:val="252424"/>
          <w:lang w:val="en-US"/>
        </w:rPr>
        <w:t>We look forward to working with you in the future:</w:t>
      </w:r>
    </w:p>
    <w:p w14:paraId="553BEDAE" w14:textId="77777777" w:rsidR="001C062C" w:rsidRDefault="001C062C" w:rsidP="0002122E">
      <w:pPr>
        <w:rPr>
          <w:rFonts w:ascii="Segoe UI" w:eastAsia="Times New Roman" w:hAnsi="Segoe UI" w:cs="Segoe UI"/>
          <w:color w:val="252424"/>
          <w:lang w:val="en-US"/>
        </w:rPr>
      </w:pPr>
    </w:p>
    <w:p w14:paraId="406155B2" w14:textId="77777777" w:rsidR="009D2554" w:rsidRDefault="009D2554" w:rsidP="0002122E">
      <w:pPr>
        <w:rPr>
          <w:rFonts w:ascii="Segoe UI" w:eastAsia="Times New Roman" w:hAnsi="Segoe UI" w:cs="Segoe UI"/>
          <w:color w:val="252424"/>
          <w:lang w:val="en-US"/>
        </w:rPr>
      </w:pPr>
    </w:p>
    <w:p w14:paraId="26847474" w14:textId="77777777" w:rsidR="009D2554" w:rsidRDefault="009D2554" w:rsidP="0002122E">
      <w:pPr>
        <w:rPr>
          <w:rFonts w:ascii="Segoe UI" w:eastAsia="Times New Roman" w:hAnsi="Segoe UI" w:cs="Segoe UI"/>
          <w:color w:val="252424"/>
          <w:lang w:val="en-US"/>
        </w:rPr>
      </w:pPr>
    </w:p>
    <w:p w14:paraId="3D1C0A3F" w14:textId="27AEBFEC" w:rsidR="001C062C" w:rsidRDefault="001C062C" w:rsidP="0002122E">
      <w:pPr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color w:val="252424"/>
          <w:lang w:val="en-US"/>
        </w:rPr>
        <w:t>Peter Wightman</w:t>
      </w:r>
      <w:r>
        <w:rPr>
          <w:rFonts w:ascii="Segoe UI" w:eastAsia="Times New Roman" w:hAnsi="Segoe UI" w:cs="Segoe UI"/>
          <w:color w:val="252424"/>
          <w:lang w:val="en-US"/>
        </w:rPr>
        <w:tab/>
      </w:r>
      <w:r>
        <w:rPr>
          <w:rFonts w:ascii="Segoe UI" w:eastAsia="Times New Roman" w:hAnsi="Segoe UI" w:cs="Segoe UI"/>
          <w:color w:val="252424"/>
          <w:lang w:val="en-US"/>
        </w:rPr>
        <w:tab/>
        <w:t>Nick Barker</w:t>
      </w:r>
      <w:r>
        <w:rPr>
          <w:rFonts w:ascii="Segoe UI" w:eastAsia="Times New Roman" w:hAnsi="Segoe UI" w:cs="Segoe UI"/>
          <w:color w:val="252424"/>
          <w:lang w:val="en-US"/>
        </w:rPr>
        <w:tab/>
      </w:r>
      <w:r>
        <w:rPr>
          <w:rFonts w:ascii="Segoe UI" w:eastAsia="Times New Roman" w:hAnsi="Segoe UI" w:cs="Segoe UI"/>
          <w:color w:val="252424"/>
          <w:lang w:val="en-US"/>
        </w:rPr>
        <w:tab/>
        <w:t>Tom Norfolk</w:t>
      </w:r>
    </w:p>
    <w:p w14:paraId="1C1D5096" w14:textId="2DDC8DF9" w:rsidR="009D2554" w:rsidRDefault="009D2554" w:rsidP="009D2554">
      <w:pPr>
        <w:autoSpaceDE w:val="0"/>
        <w:autoSpaceDN w:val="0"/>
        <w:snapToGrid w:val="0"/>
        <w:spacing w:after="80"/>
        <w:rPr>
          <w:rFonts w:ascii="Calibri Light" w:hAnsi="Calibri Light" w:cs="Calibri Light"/>
          <w:color w:val="000000"/>
          <w:sz w:val="24"/>
          <w:szCs w:val="24"/>
          <w:lang w:eastAsia="en-GB"/>
        </w:rPr>
      </w:pPr>
      <w:r>
        <w:rPr>
          <w:rFonts w:ascii="Calibri Light" w:hAnsi="Calibri Light" w:cs="Calibri Light"/>
          <w:color w:val="000000"/>
          <w:sz w:val="24"/>
          <w:szCs w:val="24"/>
          <w:lang w:eastAsia="en-GB"/>
        </w:rPr>
        <w:t xml:space="preserve">Director 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  <w:lang w:eastAsia="en-GB"/>
        </w:rPr>
        <w:t>lead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  <w:lang w:eastAsia="en-GB"/>
        </w:rPr>
        <w:t xml:space="preserve"> for Pharmacy,</w:t>
      </w:r>
      <w:r>
        <w:rPr>
          <w:rFonts w:ascii="Calibri Light" w:hAnsi="Calibri Light" w:cs="Calibri Light"/>
          <w:color w:val="000000"/>
          <w:sz w:val="24"/>
          <w:szCs w:val="24"/>
          <w:lang w:eastAsia="en-GB"/>
        </w:rPr>
        <w:tab/>
      </w:r>
      <w:r>
        <w:rPr>
          <w:rFonts w:ascii="Calibri Light" w:hAnsi="Calibri Light" w:cs="Calibri Light"/>
          <w:color w:val="000000"/>
          <w:sz w:val="24"/>
          <w:szCs w:val="24"/>
          <w:lang w:eastAsia="en-GB"/>
        </w:rPr>
        <w:tab/>
        <w:t xml:space="preserve">Co-Chairs Local Dental </w:t>
      </w:r>
    </w:p>
    <w:p w14:paraId="15FA8D6F" w14:textId="5447F724" w:rsidR="009D2554" w:rsidRDefault="009D2554" w:rsidP="009D2554">
      <w:pPr>
        <w:autoSpaceDE w:val="0"/>
        <w:autoSpaceDN w:val="0"/>
        <w:snapToGrid w:val="0"/>
        <w:spacing w:after="80"/>
        <w:rPr>
          <w:rFonts w:ascii="Calibri Light" w:hAnsi="Calibri Light" w:cs="Calibri Light"/>
          <w:color w:val="000000"/>
          <w:sz w:val="24"/>
          <w:szCs w:val="24"/>
          <w:lang w:eastAsia="en-GB"/>
        </w:rPr>
      </w:pPr>
      <w:r>
        <w:rPr>
          <w:rFonts w:ascii="Calibri Light" w:hAnsi="Calibri Light" w:cs="Calibri Light"/>
          <w:color w:val="000000"/>
          <w:sz w:val="24"/>
          <w:szCs w:val="24"/>
          <w:lang w:eastAsia="en-GB"/>
        </w:rPr>
        <w:t xml:space="preserve">Optometry and Dental </w:t>
      </w:r>
      <w:r>
        <w:rPr>
          <w:rFonts w:ascii="Calibri Light" w:hAnsi="Calibri Light" w:cs="Calibri Light"/>
          <w:color w:val="000000"/>
          <w:sz w:val="24"/>
          <w:szCs w:val="24"/>
          <w:lang w:eastAsia="en-GB"/>
        </w:rPr>
        <w:tab/>
      </w:r>
      <w:r>
        <w:rPr>
          <w:rFonts w:ascii="Calibri Light" w:hAnsi="Calibri Light" w:cs="Calibri Light"/>
          <w:color w:val="000000"/>
          <w:sz w:val="24"/>
          <w:szCs w:val="24"/>
          <w:lang w:eastAsia="en-GB"/>
        </w:rPr>
        <w:tab/>
        <w:t>Network</w:t>
      </w:r>
    </w:p>
    <w:p w14:paraId="75AE52EA" w14:textId="5984BCB3" w:rsidR="009D2554" w:rsidRDefault="009D2554" w:rsidP="009D2554">
      <w:pPr>
        <w:autoSpaceDE w:val="0"/>
        <w:autoSpaceDN w:val="0"/>
        <w:snapToGrid w:val="0"/>
        <w:spacing w:after="80"/>
        <w:rPr>
          <w:rFonts w:ascii="Calibri Light" w:hAnsi="Calibri Light" w:cs="Calibri Light"/>
          <w:color w:val="000000"/>
          <w:sz w:val="24"/>
          <w:szCs w:val="24"/>
          <w:lang w:eastAsia="en-GB"/>
        </w:rPr>
      </w:pPr>
      <w:r>
        <w:rPr>
          <w:rFonts w:ascii="Calibri Light" w:hAnsi="Calibri Light" w:cs="Calibri Light"/>
          <w:color w:val="000000"/>
          <w:sz w:val="24"/>
          <w:szCs w:val="24"/>
          <w:lang w:eastAsia="en-GB"/>
        </w:rPr>
        <w:t xml:space="preserve">Suffolk and 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  <w:lang w:eastAsia="en-GB"/>
        </w:rPr>
        <w:t>North East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  <w:lang w:eastAsia="en-GB"/>
        </w:rPr>
        <w:t xml:space="preserve"> Essex ICB</w:t>
      </w:r>
      <w:r>
        <w:rPr>
          <w:rFonts w:ascii="Calibri Light" w:hAnsi="Calibri Light" w:cs="Calibri Light"/>
          <w:color w:val="000000"/>
          <w:sz w:val="24"/>
          <w:szCs w:val="24"/>
          <w:lang w:eastAsia="en-GB"/>
        </w:rPr>
        <w:tab/>
        <w:t xml:space="preserve">East of England. </w:t>
      </w:r>
      <w:r>
        <w:rPr>
          <w:rFonts w:ascii="Calibri Light" w:hAnsi="Calibri Light" w:cs="Calibri Light"/>
          <w:color w:val="000000"/>
          <w:sz w:val="24"/>
          <w:szCs w:val="24"/>
          <w:lang w:eastAsia="en-GB"/>
        </w:rPr>
        <w:tab/>
      </w:r>
    </w:p>
    <w:p w14:paraId="4DFF3E08" w14:textId="481095EB" w:rsidR="009D2554" w:rsidRDefault="009D2554" w:rsidP="009D2554">
      <w:pPr>
        <w:autoSpaceDE w:val="0"/>
        <w:autoSpaceDN w:val="0"/>
        <w:snapToGrid w:val="0"/>
        <w:spacing w:after="80"/>
        <w:rPr>
          <w:rFonts w:ascii="Calibri Light" w:hAnsi="Calibri Light" w:cs="Calibri Light"/>
          <w:color w:val="000000"/>
          <w:sz w:val="24"/>
          <w:szCs w:val="24"/>
          <w:lang w:eastAsia="en-GB"/>
        </w:rPr>
      </w:pPr>
    </w:p>
    <w:p w14:paraId="42E6EB93" w14:textId="77777777" w:rsidR="0002122E" w:rsidRDefault="0002122E" w:rsidP="0002122E"/>
    <w:p w14:paraId="273E8B47" w14:textId="77777777" w:rsidR="00D24EA9" w:rsidRDefault="00D24EA9"/>
    <w:p w14:paraId="1CA5D630" w14:textId="77777777" w:rsidR="00D24EA9" w:rsidRDefault="00D24EA9"/>
    <w:sectPr w:rsidR="00D24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627E8"/>
    <w:multiLevelType w:val="hybridMultilevel"/>
    <w:tmpl w:val="06401DD2"/>
    <w:lvl w:ilvl="0" w:tplc="4FDE6F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0783B"/>
    <w:multiLevelType w:val="hybridMultilevel"/>
    <w:tmpl w:val="1A34AB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E5C2A"/>
    <w:multiLevelType w:val="hybridMultilevel"/>
    <w:tmpl w:val="F37A349A"/>
    <w:lvl w:ilvl="0" w:tplc="6C545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91019">
    <w:abstractNumId w:val="1"/>
  </w:num>
  <w:num w:numId="2" w16cid:durableId="1412462471">
    <w:abstractNumId w:val="2"/>
  </w:num>
  <w:num w:numId="3" w16cid:durableId="75100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1C"/>
    <w:rsid w:val="0002122E"/>
    <w:rsid w:val="00027E0A"/>
    <w:rsid w:val="00051E51"/>
    <w:rsid w:val="0009295F"/>
    <w:rsid w:val="001140E3"/>
    <w:rsid w:val="00116E84"/>
    <w:rsid w:val="001359A9"/>
    <w:rsid w:val="001C062C"/>
    <w:rsid w:val="0020361E"/>
    <w:rsid w:val="002171D6"/>
    <w:rsid w:val="0030216B"/>
    <w:rsid w:val="004130AD"/>
    <w:rsid w:val="004400CE"/>
    <w:rsid w:val="004648E0"/>
    <w:rsid w:val="00522C52"/>
    <w:rsid w:val="0062505D"/>
    <w:rsid w:val="00661715"/>
    <w:rsid w:val="006A2C60"/>
    <w:rsid w:val="0078173F"/>
    <w:rsid w:val="007B54CB"/>
    <w:rsid w:val="00835B68"/>
    <w:rsid w:val="00837E9C"/>
    <w:rsid w:val="008415C5"/>
    <w:rsid w:val="0087062E"/>
    <w:rsid w:val="009731C4"/>
    <w:rsid w:val="00994A52"/>
    <w:rsid w:val="009B7323"/>
    <w:rsid w:val="009D2554"/>
    <w:rsid w:val="00A2133D"/>
    <w:rsid w:val="00A22B83"/>
    <w:rsid w:val="00A85964"/>
    <w:rsid w:val="00A8778D"/>
    <w:rsid w:val="00BD4780"/>
    <w:rsid w:val="00BD536D"/>
    <w:rsid w:val="00C167BF"/>
    <w:rsid w:val="00C81D68"/>
    <w:rsid w:val="00CA21E4"/>
    <w:rsid w:val="00CF6CA6"/>
    <w:rsid w:val="00D16F0C"/>
    <w:rsid w:val="00D24EA9"/>
    <w:rsid w:val="00D33D7F"/>
    <w:rsid w:val="00D4571C"/>
    <w:rsid w:val="00E3583B"/>
    <w:rsid w:val="00E700E7"/>
    <w:rsid w:val="00EA0569"/>
    <w:rsid w:val="00EB6BC5"/>
    <w:rsid w:val="00F041EE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E9CB4"/>
  <w15:chartTrackingRefBased/>
  <w15:docId w15:val="{99C722BE-3176-4F37-A9E2-3263BD30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7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71C"/>
    <w:rPr>
      <w:color w:val="605E5C"/>
      <w:shd w:val="clear" w:color="auto" w:fill="E1DFDD"/>
    </w:rPr>
  </w:style>
  <w:style w:type="paragraph" w:styleId="ListParagraph">
    <w:name w:val="List Paragraph"/>
    <w:aliases w:val="F5 List Paragraph,List Paragraph1,Dot pt,No Spacing1,List Paragraph Char Char Char,Indicator Text,Numbered Para 1,Bullet 1,Bullet Points,MAIN CONTENT,List Paragraph2,Normal numbered,List Paragraph11,OBC Bullet"/>
    <w:basedOn w:val="Normal"/>
    <w:link w:val="ListParagraphChar"/>
    <w:uiPriority w:val="34"/>
    <w:qFormat/>
    <w:rsid w:val="00F041EE"/>
    <w:pPr>
      <w:spacing w:after="0" w:line="240" w:lineRule="auto"/>
      <w:ind w:left="720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1 Char,Bullet Points Char,MAIN CONTENT Char,List Paragraph2 Char"/>
    <w:link w:val="ListParagraph"/>
    <w:uiPriority w:val="34"/>
    <w:locked/>
    <w:rsid w:val="00F041EE"/>
    <w:rPr>
      <w:rFonts w:ascii="Calibri" w:eastAsia="Times New Roman" w:hAnsi="Calibri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C81D68"/>
    <w:pPr>
      <w:spacing w:after="0" w:line="240" w:lineRule="auto"/>
    </w:pPr>
  </w:style>
  <w:style w:type="table" w:styleId="TableGrid">
    <w:name w:val="Table Grid"/>
    <w:basedOn w:val="TableNormal"/>
    <w:uiPriority w:val="39"/>
    <w:rsid w:val="00661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6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6C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6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CA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171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WNjMjMyMGYtMThkMy00NDIzLTk4MzctNTY5YTY0Yzk2YWEw%40thread.v2/0?context=%7b%22Tid%22%3a%2246a6a078-a0b0-4a34-a2dc-27bad75b7531%22%2c%22Oid%22%3a%22ede06ab2-4bb8-40ce-881d-a7c07e90d2cf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jMzMGFiNzgtNjk0YS00NjlhLTgxM2UtMjkyNzkxYzhlNDBi%40thread.v2/0?context=%7b%22Tid%22%3a%2246a6a078-a0b0-4a34-a2dc-27bad75b7531%22%2c%22Oid%22%3a%22ede06ab2-4bb8-40ce-881d-a7c07e90d2cf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eWjyR9dBRn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ental@SNEE.NHS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egory.Brown@SNE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Gregory (SNEE ICB)</dc:creator>
  <cp:keywords/>
  <dc:description/>
  <cp:lastModifiedBy>Brown, Gregory (SNEE ICB)</cp:lastModifiedBy>
  <cp:revision>4</cp:revision>
  <dcterms:created xsi:type="dcterms:W3CDTF">2024-01-19T14:36:00Z</dcterms:created>
  <dcterms:modified xsi:type="dcterms:W3CDTF">2024-01-19T15:29:00Z</dcterms:modified>
</cp:coreProperties>
</file>